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1298892</wp:posOffset>
            </wp:positionH>
            <wp:positionV relativeFrom="paragraph">
              <wp:posOffset>0</wp:posOffset>
            </wp:positionV>
            <wp:extent cx="4048125" cy="1933575"/>
            <wp:effectExtent b="0" l="0" r="0" t="0"/>
            <wp:wrapTopAndBottom distB="0" distT="0"/>
            <wp:docPr descr="A black and white logo&#10;&#10;Description automatically generated" id="5" name="image2.png"/>
            <a:graphic>
              <a:graphicData uri="http://schemas.openxmlformats.org/drawingml/2006/picture">
                <pic:pic>
                  <pic:nvPicPr>
                    <pic:cNvPr descr="A black and white logo&#10;&#10;Description automatically generated" id="0" name="image2.png"/>
                    <pic:cNvPicPr preferRelativeResize="0"/>
                  </pic:nvPicPr>
                  <pic:blipFill>
                    <a:blip r:embed="rId6"/>
                    <a:srcRect b="0" l="0" r="0" t="0"/>
                    <a:stretch>
                      <a:fillRect/>
                    </a:stretch>
                  </pic:blipFill>
                  <pic:spPr>
                    <a:xfrm>
                      <a:off x="0" y="0"/>
                      <a:ext cx="4048125" cy="1933575"/>
                    </a:xfrm>
                    <a:prstGeom prst="rect"/>
                    <a:ln/>
                  </pic:spPr>
                </pic:pic>
              </a:graphicData>
            </a:graphic>
          </wp:anchor>
        </w:drawing>
      </w:r>
    </w:p>
    <w:p w:rsidR="00000000" w:rsidDel="00000000" w:rsidP="00000000" w:rsidRDefault="00000000" w:rsidRPr="00000000" w14:paraId="00000002">
      <w:pPr>
        <w:spacing w:line="360" w:lineRule="auto"/>
        <w:jc w:val="center"/>
        <w:rPr>
          <w:b w:val="1"/>
          <w:sz w:val="48"/>
          <w:szCs w:val="48"/>
        </w:rPr>
      </w:pPr>
      <w:r w:rsidDel="00000000" w:rsidR="00000000" w:rsidRPr="00000000">
        <w:rPr>
          <w:b w:val="1"/>
          <w:sz w:val="48"/>
          <w:szCs w:val="48"/>
          <w:rtl w:val="0"/>
        </w:rPr>
        <w:t xml:space="preserve">Open to All Arena Event</w:t>
      </w:r>
    </w:p>
    <w:p w:rsidR="00000000" w:rsidDel="00000000" w:rsidP="00000000" w:rsidRDefault="00000000" w:rsidRPr="00000000" w14:paraId="00000003">
      <w:pPr>
        <w:spacing w:line="360" w:lineRule="auto"/>
        <w:jc w:val="center"/>
        <w:rPr>
          <w:b w:val="1"/>
          <w:sz w:val="48"/>
          <w:szCs w:val="48"/>
        </w:rPr>
      </w:pPr>
      <w:r w:rsidDel="00000000" w:rsidR="00000000" w:rsidRPr="00000000">
        <w:rPr>
          <w:b w:val="1"/>
          <w:sz w:val="48"/>
          <w:szCs w:val="48"/>
          <w:rtl w:val="0"/>
        </w:rPr>
        <w:t xml:space="preserve">To count towards the Scottish Riding Club Event Series 2024 (Open to members of affiliated and non-affiliated Riding Clubs)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jc w:val="center"/>
        <w:rPr>
          <w:sz w:val="44"/>
          <w:szCs w:val="44"/>
        </w:rPr>
      </w:pPr>
      <w:r w:rsidDel="00000000" w:rsidR="00000000" w:rsidRPr="00000000">
        <w:rPr>
          <w:sz w:val="44"/>
          <w:szCs w:val="44"/>
          <w:rtl w:val="0"/>
        </w:rPr>
        <w:t xml:space="preserve">Saturday 27</w:t>
      </w:r>
      <w:r w:rsidDel="00000000" w:rsidR="00000000" w:rsidRPr="00000000">
        <w:rPr>
          <w:sz w:val="44"/>
          <w:szCs w:val="44"/>
          <w:vertAlign w:val="superscript"/>
          <w:rtl w:val="0"/>
        </w:rPr>
        <w:t xml:space="preserve">th</w:t>
      </w:r>
      <w:r w:rsidDel="00000000" w:rsidR="00000000" w:rsidRPr="00000000">
        <w:rPr>
          <w:sz w:val="44"/>
          <w:szCs w:val="44"/>
          <w:rtl w:val="0"/>
        </w:rPr>
        <w:t xml:space="preserve"> April 2024</w:t>
      </w:r>
    </w:p>
    <w:p w:rsidR="00000000" w:rsidDel="00000000" w:rsidP="00000000" w:rsidRDefault="00000000" w:rsidRPr="00000000" w14:paraId="00000006">
      <w:pPr>
        <w:spacing w:line="360" w:lineRule="auto"/>
        <w:jc w:val="center"/>
        <w:rPr>
          <w:sz w:val="44"/>
          <w:szCs w:val="44"/>
        </w:rPr>
      </w:pPr>
      <w:r w:rsidDel="00000000" w:rsidR="00000000" w:rsidRPr="00000000">
        <w:rPr>
          <w:sz w:val="44"/>
          <w:szCs w:val="44"/>
          <w:rtl w:val="0"/>
        </w:rPr>
        <w:t xml:space="preserve">Closing Date for Pre-Entries 22</w:t>
      </w:r>
      <w:r w:rsidDel="00000000" w:rsidR="00000000" w:rsidRPr="00000000">
        <w:rPr>
          <w:sz w:val="44"/>
          <w:szCs w:val="44"/>
          <w:vertAlign w:val="superscript"/>
          <w:rtl w:val="0"/>
        </w:rPr>
        <w:t xml:space="preserve">nd</w:t>
      </w:r>
      <w:r w:rsidDel="00000000" w:rsidR="00000000" w:rsidRPr="00000000">
        <w:rPr>
          <w:sz w:val="44"/>
          <w:szCs w:val="44"/>
          <w:rtl w:val="0"/>
        </w:rPr>
        <w:t xml:space="preserve"> April 2024</w:t>
      </w:r>
    </w:p>
    <w:p w:rsidR="00000000" w:rsidDel="00000000" w:rsidP="00000000" w:rsidRDefault="00000000" w:rsidRPr="00000000" w14:paraId="00000007">
      <w:pPr>
        <w:spacing w:line="360" w:lineRule="auto"/>
        <w:jc w:val="center"/>
        <w:rPr>
          <w:sz w:val="28"/>
          <w:szCs w:val="28"/>
        </w:rPr>
      </w:pPr>
      <w:r w:rsidDel="00000000" w:rsidR="00000000" w:rsidRPr="00000000">
        <w:rPr>
          <w:rtl w:val="0"/>
        </w:rPr>
      </w:r>
    </w:p>
    <w:p w:rsidR="00000000" w:rsidDel="00000000" w:rsidP="00000000" w:rsidRDefault="00000000" w:rsidRPr="00000000" w14:paraId="00000008">
      <w:pPr>
        <w:spacing w:line="360" w:lineRule="auto"/>
        <w:jc w:val="center"/>
        <w:rPr>
          <w:sz w:val="44"/>
          <w:szCs w:val="44"/>
        </w:rPr>
      </w:pPr>
      <w:r w:rsidDel="00000000" w:rsidR="00000000" w:rsidRPr="00000000">
        <w:rPr>
          <w:sz w:val="44"/>
          <w:szCs w:val="44"/>
          <w:rtl w:val="0"/>
        </w:rPr>
        <w:t xml:space="preserve">10:00AM Start</w:t>
      </w:r>
    </w:p>
    <w:p w:rsidR="00000000" w:rsidDel="00000000" w:rsidP="00000000" w:rsidRDefault="00000000" w:rsidRPr="00000000" w14:paraId="00000009">
      <w:pPr>
        <w:spacing w:line="360" w:lineRule="auto"/>
        <w:jc w:val="center"/>
        <w:rPr>
          <w:sz w:val="28"/>
          <w:szCs w:val="28"/>
        </w:rPr>
      </w:pPr>
      <w:r w:rsidDel="00000000" w:rsidR="00000000" w:rsidRPr="00000000">
        <w:rPr>
          <w:rtl w:val="0"/>
        </w:rPr>
      </w:r>
    </w:p>
    <w:p w:rsidR="00000000" w:rsidDel="00000000" w:rsidP="00000000" w:rsidRDefault="00000000" w:rsidRPr="00000000" w14:paraId="0000000A">
      <w:pPr>
        <w:spacing w:line="360" w:lineRule="auto"/>
        <w:jc w:val="center"/>
        <w:rPr>
          <w:sz w:val="44"/>
          <w:szCs w:val="44"/>
        </w:rPr>
      </w:pPr>
      <w:r w:rsidDel="00000000" w:rsidR="00000000" w:rsidRPr="00000000">
        <w:rPr>
          <w:sz w:val="44"/>
          <w:szCs w:val="44"/>
          <w:rtl w:val="0"/>
        </w:rPr>
        <w:t xml:space="preserve">Indoor Arena, Bractullo</w:t>
      </w:r>
    </w:p>
    <w:p w:rsidR="00000000" w:rsidDel="00000000" w:rsidP="00000000" w:rsidRDefault="00000000" w:rsidRPr="00000000" w14:paraId="0000000B">
      <w:pPr>
        <w:spacing w:line="360" w:lineRule="auto"/>
        <w:jc w:val="center"/>
        <w:rPr>
          <w:sz w:val="44"/>
          <w:szCs w:val="44"/>
        </w:rPr>
      </w:pPr>
      <w:r w:rsidDel="00000000" w:rsidR="00000000" w:rsidRPr="00000000">
        <w:rPr>
          <w:rtl w:val="0"/>
        </w:rPr>
      </w:r>
    </w:p>
    <w:p w:rsidR="00000000" w:rsidDel="00000000" w:rsidP="00000000" w:rsidRDefault="00000000" w:rsidRPr="00000000" w14:paraId="0000000C">
      <w:pPr>
        <w:spacing w:line="360" w:lineRule="auto"/>
        <w:jc w:val="center"/>
        <w:rPr>
          <w:sz w:val="44"/>
          <w:szCs w:val="44"/>
        </w:rPr>
      </w:pPr>
      <w:r w:rsidDel="00000000" w:rsidR="00000000" w:rsidRPr="00000000">
        <w:rPr>
          <w:sz w:val="44"/>
          <w:szCs w:val="44"/>
          <w:rtl w:val="0"/>
        </w:rPr>
        <w:t xml:space="preserve">By Kind Permission of Suzanne Lumgair</w:t>
      </w:r>
    </w:p>
    <w:p w:rsidR="00000000" w:rsidDel="00000000" w:rsidP="00000000" w:rsidRDefault="00000000" w:rsidRPr="00000000" w14:paraId="0000000D">
      <w:pPr>
        <w:spacing w:line="240" w:lineRule="auto"/>
        <w:jc w:val="center"/>
        <w:rPr>
          <w:sz w:val="44"/>
          <w:szCs w:val="4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2222817</wp:posOffset>
                </wp:positionH>
                <wp:positionV relativeFrom="paragraph">
                  <wp:posOffset>13694</wp:posOffset>
                </wp:positionV>
                <wp:extent cx="2200275" cy="228600"/>
                <wp:effectExtent b="19050" l="0" r="28575" t="0"/>
                <wp:wrapNone/>
                <wp:docPr id="3" name=""/>
                <a:graphic>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2222817</wp:posOffset>
                </wp:positionH>
                <wp:positionV relativeFrom="paragraph">
                  <wp:posOffset>13694</wp:posOffset>
                </wp:positionV>
                <wp:extent cx="2228850" cy="247650"/>
                <wp:effectExtent b="0" l="0" r="0" t="0"/>
                <wp:wrapNone/>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28850" cy="247650"/>
                        </a:xfrm>
                        <a:prstGeom prst="rect"/>
                        <a:ln/>
                      </pic:spPr>
                    </pic:pic>
                  </a:graphicData>
                </a:graphic>
              </wp:anchor>
            </w:drawing>
          </mc:Fallback>
        </mc:AlternateContent>
      </w:r>
    </w:p>
    <w:p w:rsidR="00000000" w:rsidDel="00000000" w:rsidP="00000000" w:rsidRDefault="00000000" w:rsidRPr="00000000" w14:paraId="0000000E">
      <w:pPr>
        <w:spacing w:line="360" w:lineRule="auto"/>
        <w:jc w:val="center"/>
        <w:rPr>
          <w:sz w:val="44"/>
          <w:szCs w:val="44"/>
        </w:rPr>
      </w:pPr>
      <w:r w:rsidDel="00000000" w:rsidR="00000000" w:rsidRPr="00000000">
        <w:rPr>
          <w:sz w:val="28"/>
          <w:szCs w:val="28"/>
          <w:rtl w:val="0"/>
        </w:rPr>
        <w:t xml:space="preserve">For each class, there will be Junior and Senior sections. </w:t>
      </w:r>
      <w:r w:rsidDel="00000000" w:rsidR="00000000" w:rsidRPr="00000000">
        <w:rPr>
          <w:rtl w:val="0"/>
        </w:rPr>
      </w:r>
    </w:p>
    <w:p w:rsidR="00000000" w:rsidDel="00000000" w:rsidP="00000000" w:rsidRDefault="00000000" w:rsidRPr="00000000" w14:paraId="0000000F">
      <w:pPr>
        <w:spacing w:line="360" w:lineRule="auto"/>
        <w:jc w:val="center"/>
        <w:rPr>
          <w:sz w:val="28"/>
          <w:szCs w:val="28"/>
        </w:rPr>
      </w:pPr>
      <w:r w:rsidDel="00000000" w:rsidR="00000000" w:rsidRPr="00000000">
        <w:rPr>
          <w:sz w:val="28"/>
          <w:szCs w:val="28"/>
          <w:rtl w:val="0"/>
        </w:rPr>
        <w:t xml:space="preserve">£15 for SDRC Members per class</w:t>
      </w:r>
    </w:p>
    <w:p w:rsidR="00000000" w:rsidDel="00000000" w:rsidP="00000000" w:rsidRDefault="00000000" w:rsidRPr="00000000" w14:paraId="00000010">
      <w:pPr>
        <w:spacing w:line="360" w:lineRule="auto"/>
        <w:jc w:val="center"/>
        <w:rPr>
          <w:sz w:val="28"/>
          <w:szCs w:val="28"/>
        </w:rPr>
      </w:pPr>
      <w:r w:rsidDel="00000000" w:rsidR="00000000" w:rsidRPr="00000000">
        <w:rPr>
          <w:sz w:val="28"/>
          <w:szCs w:val="28"/>
          <w:rtl w:val="0"/>
        </w:rPr>
        <w:t xml:space="preserve">£18 for Non-members per class</w:t>
      </w:r>
    </w:p>
    <w:p w:rsidR="00000000" w:rsidDel="00000000" w:rsidP="00000000" w:rsidRDefault="00000000" w:rsidRPr="00000000" w14:paraId="00000011">
      <w:pPr>
        <w:spacing w:line="360" w:lineRule="auto"/>
        <w:jc w:val="center"/>
        <w:rPr>
          <w:sz w:val="28"/>
          <w:szCs w:val="28"/>
        </w:rPr>
      </w:pPr>
      <w:r w:rsidDel="00000000" w:rsidR="00000000" w:rsidRPr="00000000">
        <w:rPr>
          <w:sz w:val="28"/>
          <w:szCs w:val="28"/>
          <w:rtl w:val="0"/>
        </w:rPr>
        <w:t xml:space="preserve">Entries via Clubentries (</w:t>
      </w:r>
      <w:hyperlink r:id="rId8">
        <w:r w:rsidDel="00000000" w:rsidR="00000000" w:rsidRPr="00000000">
          <w:rPr>
            <w:color w:val="0000ff"/>
            <w:sz w:val="28"/>
            <w:szCs w:val="28"/>
            <w:u w:val="single"/>
            <w:rtl w:val="0"/>
          </w:rPr>
          <w:t xml:space="preserve">https://clubentries.com/sdrc/</w:t>
        </w:r>
      </w:hyperlink>
      <w:r w:rsidDel="00000000" w:rsidR="00000000" w:rsidRPr="00000000">
        <w:rPr>
          <w:sz w:val="28"/>
          <w:szCs w:val="28"/>
          <w:rtl w:val="0"/>
        </w:rPr>
        <w:t xml:space="preserve">), if you enter one class online, you may enter another on the day with no late entry fee.</w:t>
      </w:r>
    </w:p>
    <w:p w:rsidR="00000000" w:rsidDel="00000000" w:rsidP="00000000" w:rsidRDefault="00000000" w:rsidRPr="00000000" w14:paraId="00000012">
      <w:pPr>
        <w:spacing w:line="360" w:lineRule="auto"/>
        <w:jc w:val="center"/>
        <w:rPr>
          <w:sz w:val="28"/>
          <w:szCs w:val="28"/>
        </w:rPr>
      </w:pPr>
      <w:r w:rsidDel="00000000" w:rsidR="00000000" w:rsidRPr="00000000">
        <w:rPr>
          <w:sz w:val="28"/>
          <w:szCs w:val="28"/>
          <w:rtl w:val="0"/>
        </w:rPr>
        <w:t xml:space="preserve">Late entries will also be taken on the day for those not pre-entered. These will be charged at £2 extra per class.</w:t>
      </w:r>
    </w:p>
    <w:p w:rsidR="00000000" w:rsidDel="00000000" w:rsidP="00000000" w:rsidRDefault="00000000" w:rsidRPr="00000000" w14:paraId="00000013">
      <w:pPr>
        <w:spacing w:line="360" w:lineRule="auto"/>
        <w:jc w:val="center"/>
        <w:rPr>
          <w:sz w:val="28"/>
          <w:szCs w:val="28"/>
        </w:rPr>
      </w:pPr>
      <w:r w:rsidDel="00000000" w:rsidR="00000000" w:rsidRPr="00000000">
        <w:rPr>
          <w:rtl w:val="0"/>
        </w:rPr>
      </w:r>
    </w:p>
    <w:p w:rsidR="00000000" w:rsidDel="00000000" w:rsidP="00000000" w:rsidRDefault="00000000" w:rsidRPr="00000000" w14:paraId="00000014">
      <w:pPr>
        <w:spacing w:line="360" w:lineRule="auto"/>
        <w:jc w:val="center"/>
        <w:rPr>
          <w:sz w:val="28"/>
          <w:szCs w:val="28"/>
        </w:rPr>
      </w:pPr>
      <w:r w:rsidDel="00000000" w:rsidR="00000000" w:rsidRPr="00000000">
        <w:rPr>
          <w:sz w:val="28"/>
          <w:szCs w:val="28"/>
          <w:rtl w:val="0"/>
        </w:rPr>
        <w:t xml:space="preserve">The course will consist of up to 6 – 8 showjumping fences, followed immediately by up to 6 – 8 knock down cross-country/working hunter fences, these may include a skinny, corner and joker fence. The whole round will be timed with faults accumulated over both sections.</w:t>
      </w:r>
    </w:p>
    <w:p w:rsidR="00000000" w:rsidDel="00000000" w:rsidP="00000000" w:rsidRDefault="00000000" w:rsidRPr="00000000" w14:paraId="00000015">
      <w:pPr>
        <w:spacing w:line="360" w:lineRule="auto"/>
        <w:jc w:val="center"/>
        <w:rPr>
          <w:sz w:val="28"/>
          <w:szCs w:val="28"/>
        </w:rPr>
      </w:pPr>
      <w:r w:rsidDel="00000000" w:rsidR="00000000" w:rsidRPr="00000000">
        <w:rPr>
          <w:sz w:val="28"/>
          <w:szCs w:val="28"/>
          <w:rtl w:val="0"/>
        </w:rPr>
        <w:t xml:space="preserve">Competitors can compete in 2 consecutive classes. </w:t>
      </w:r>
    </w:p>
    <w:p w:rsidR="00000000" w:rsidDel="00000000" w:rsidP="00000000" w:rsidRDefault="00000000" w:rsidRPr="00000000" w14:paraId="00000016">
      <w:pPr>
        <w:spacing w:line="360" w:lineRule="auto"/>
        <w:jc w:val="center"/>
        <w:rPr>
          <w:sz w:val="28"/>
          <w:szCs w:val="28"/>
        </w:rPr>
      </w:pPr>
      <w:r w:rsidDel="00000000" w:rsidR="00000000" w:rsidRPr="00000000">
        <w:rPr>
          <w:sz w:val="28"/>
          <w:szCs w:val="28"/>
          <w:rtl w:val="0"/>
        </w:rPr>
        <w:t xml:space="preserve">For those wishing to be counted in the Scottish Riding Club Event Series (SRCES) 2024, please contact Jane Smith (</w:t>
      </w:r>
      <w:hyperlink r:id="rId9">
        <w:r w:rsidDel="00000000" w:rsidR="00000000" w:rsidRPr="00000000">
          <w:rPr>
            <w:color w:val="0000ff"/>
            <w:sz w:val="28"/>
            <w:szCs w:val="28"/>
            <w:u w:val="single"/>
            <w:rtl w:val="0"/>
          </w:rPr>
          <w:t xml:space="preserve">jane.smith80@icloud.com</w:t>
        </w:r>
      </w:hyperlink>
      <w:r w:rsidDel="00000000" w:rsidR="00000000" w:rsidRPr="00000000">
        <w:rPr>
          <w:color w:val="000000"/>
          <w:sz w:val="28"/>
          <w:szCs w:val="28"/>
          <w:rtl w:val="0"/>
        </w:rPr>
        <w:t xml:space="preserve">)</w:t>
      </w:r>
      <w:r w:rsidDel="00000000" w:rsidR="00000000" w:rsidRPr="00000000">
        <w:rPr>
          <w:sz w:val="28"/>
          <w:szCs w:val="28"/>
          <w:rtl w:val="0"/>
        </w:rPr>
        <w:t xml:space="preserve"> to register your interest and what height you wish to compete at. </w:t>
      </w:r>
    </w:p>
    <w:p w:rsidR="00000000" w:rsidDel="00000000" w:rsidP="00000000" w:rsidRDefault="00000000" w:rsidRPr="00000000" w14:paraId="00000017">
      <w:pPr>
        <w:spacing w:line="360" w:lineRule="auto"/>
        <w:jc w:val="center"/>
        <w:rPr>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2160904</wp:posOffset>
                </wp:positionH>
                <wp:positionV relativeFrom="paragraph">
                  <wp:posOffset>14605</wp:posOffset>
                </wp:positionV>
                <wp:extent cx="2200275" cy="228600"/>
                <wp:effectExtent b="19050" l="0" r="28575" t="0"/>
                <wp:wrapNone/>
                <wp:docPr id="1" name=""/>
                <a:graphic>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2160904</wp:posOffset>
                </wp:positionH>
                <wp:positionV relativeFrom="paragraph">
                  <wp:posOffset>14605</wp:posOffset>
                </wp:positionV>
                <wp:extent cx="2228850" cy="2476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28850" cy="247650"/>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br w:type="page"/>
      </w: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559"/>
        <w:gridCol w:w="7059"/>
        <w:tblGridChange w:id="0">
          <w:tblGrid>
            <w:gridCol w:w="1838"/>
            <w:gridCol w:w="1559"/>
            <w:gridCol w:w="7059"/>
          </w:tblGrid>
        </w:tblGridChange>
      </w:tblGrid>
      <w:tr>
        <w:trPr>
          <w:cantSplit w:val="0"/>
          <w:trHeight w:val="586" w:hRule="atLeast"/>
          <w:tblHeader w:val="0"/>
        </w:trPr>
        <w:tc>
          <w:tcPr>
            <w:vAlign w:val="center"/>
          </w:tcPr>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Class Number</w:t>
            </w:r>
          </w:p>
        </w:tc>
        <w:tc>
          <w:tcPr>
            <w:vAlign w:val="center"/>
          </w:tcPr>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Height</w:t>
            </w:r>
          </w:p>
        </w:tc>
        <w:tc>
          <w:tcPr>
            <w:vAlign w:val="center"/>
          </w:tcPr>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Notes</w:t>
            </w:r>
          </w:p>
        </w:tc>
      </w:tr>
      <w:tr>
        <w:trPr>
          <w:cantSplit w:val="0"/>
          <w:trHeight w:val="586" w:hRule="atLeast"/>
          <w:tblHeader w:val="0"/>
        </w:trPr>
        <w:tc>
          <w:tcPr>
            <w:vAlign w:val="center"/>
          </w:tcPr>
          <w:p w:rsidR="00000000" w:rsidDel="00000000" w:rsidP="00000000" w:rsidRDefault="00000000" w:rsidRPr="00000000" w14:paraId="0000001C">
            <w:pPr>
              <w:spacing w:line="360" w:lineRule="auto"/>
              <w:jc w:val="center"/>
              <w:rPr>
                <w:b w:val="1"/>
                <w:sz w:val="26"/>
                <w:szCs w:val="26"/>
              </w:rPr>
            </w:pPr>
            <w:r w:rsidDel="00000000" w:rsidR="00000000" w:rsidRPr="00000000">
              <w:rPr>
                <w:sz w:val="26"/>
                <w:szCs w:val="26"/>
                <w:rtl w:val="0"/>
              </w:rPr>
              <w:t xml:space="preserve">1</w:t>
            </w:r>
            <w:r w:rsidDel="00000000" w:rsidR="00000000" w:rsidRPr="00000000">
              <w:rPr>
                <w:rtl w:val="0"/>
              </w:rPr>
            </w:r>
          </w:p>
        </w:tc>
        <w:tc>
          <w:tcPr>
            <w:vAlign w:val="center"/>
          </w:tcPr>
          <w:p w:rsidR="00000000" w:rsidDel="00000000" w:rsidP="00000000" w:rsidRDefault="00000000" w:rsidRPr="00000000" w14:paraId="0000001D">
            <w:pPr>
              <w:spacing w:line="360" w:lineRule="auto"/>
              <w:jc w:val="center"/>
              <w:rPr>
                <w:sz w:val="26"/>
                <w:szCs w:val="26"/>
              </w:rPr>
            </w:pPr>
            <w:r w:rsidDel="00000000" w:rsidR="00000000" w:rsidRPr="00000000">
              <w:rPr>
                <w:sz w:val="26"/>
                <w:szCs w:val="26"/>
                <w:rtl w:val="0"/>
              </w:rPr>
              <w:t xml:space="preserve">50cm</w:t>
            </w:r>
          </w:p>
        </w:tc>
        <w:tc>
          <w:tcPr>
            <w:vAlign w:val="center"/>
          </w:tcPr>
          <w:p w:rsidR="00000000" w:rsidDel="00000000" w:rsidP="00000000" w:rsidRDefault="00000000" w:rsidRPr="00000000" w14:paraId="0000001E">
            <w:pPr>
              <w:spacing w:line="360" w:lineRule="auto"/>
              <w:rPr>
                <w:sz w:val="26"/>
                <w:szCs w:val="26"/>
              </w:rPr>
            </w:pPr>
            <w:r w:rsidDel="00000000" w:rsidR="00000000" w:rsidRPr="00000000">
              <w:rPr>
                <w:sz w:val="26"/>
                <w:szCs w:val="26"/>
                <w:rtl w:val="0"/>
              </w:rPr>
              <w:t xml:space="preserve">Is not part of the SRCES, however provides a warmup for those wishing to compete in the 60 cm class. </w:t>
            </w:r>
          </w:p>
          <w:p w:rsidR="00000000" w:rsidDel="00000000" w:rsidP="00000000" w:rsidRDefault="00000000" w:rsidRPr="00000000" w14:paraId="0000001F">
            <w:pPr>
              <w:spacing w:line="360" w:lineRule="auto"/>
              <w:rPr>
                <w:sz w:val="26"/>
                <w:szCs w:val="26"/>
              </w:rPr>
            </w:pPr>
            <w:r w:rsidDel="00000000" w:rsidR="00000000" w:rsidRPr="00000000">
              <w:rPr>
                <w:sz w:val="26"/>
                <w:szCs w:val="26"/>
                <w:rtl w:val="0"/>
              </w:rPr>
              <w:t xml:space="preserve">Assistance allowed. </w:t>
            </w:r>
          </w:p>
        </w:tc>
      </w:tr>
      <w:tr>
        <w:trPr>
          <w:cantSplit w:val="0"/>
          <w:trHeight w:val="586" w:hRule="atLeast"/>
          <w:tblHeader w:val="0"/>
        </w:trPr>
        <w:tc>
          <w:tcPr>
            <w:vAlign w:val="center"/>
          </w:tcPr>
          <w:p w:rsidR="00000000" w:rsidDel="00000000" w:rsidP="00000000" w:rsidRDefault="00000000" w:rsidRPr="00000000" w14:paraId="00000020">
            <w:pPr>
              <w:spacing w:line="360" w:lineRule="auto"/>
              <w:jc w:val="center"/>
              <w:rPr>
                <w:b w:val="1"/>
                <w:sz w:val="26"/>
                <w:szCs w:val="26"/>
              </w:rPr>
            </w:pPr>
            <w:r w:rsidDel="00000000" w:rsidR="00000000" w:rsidRPr="00000000">
              <w:rPr>
                <w:sz w:val="26"/>
                <w:szCs w:val="26"/>
                <w:rtl w:val="0"/>
              </w:rPr>
              <w:t xml:space="preserve">2</w:t>
            </w:r>
            <w:r w:rsidDel="00000000" w:rsidR="00000000" w:rsidRPr="00000000">
              <w:rPr>
                <w:rtl w:val="0"/>
              </w:rPr>
            </w:r>
          </w:p>
        </w:tc>
        <w:tc>
          <w:tcPr>
            <w:vAlign w:val="center"/>
          </w:tcPr>
          <w:p w:rsidR="00000000" w:rsidDel="00000000" w:rsidP="00000000" w:rsidRDefault="00000000" w:rsidRPr="00000000" w14:paraId="00000021">
            <w:pPr>
              <w:spacing w:line="360" w:lineRule="auto"/>
              <w:jc w:val="center"/>
              <w:rPr>
                <w:sz w:val="26"/>
                <w:szCs w:val="26"/>
              </w:rPr>
            </w:pPr>
            <w:r w:rsidDel="00000000" w:rsidR="00000000" w:rsidRPr="00000000">
              <w:rPr>
                <w:sz w:val="26"/>
                <w:szCs w:val="26"/>
                <w:rtl w:val="0"/>
              </w:rPr>
              <w:t xml:space="preserve">60cm</w:t>
            </w:r>
          </w:p>
        </w:tc>
        <w:tc>
          <w:tcPr>
            <w:vAlign w:val="center"/>
          </w:tcPr>
          <w:p w:rsidR="00000000" w:rsidDel="00000000" w:rsidP="00000000" w:rsidRDefault="00000000" w:rsidRPr="00000000" w14:paraId="00000022">
            <w:pPr>
              <w:spacing w:line="360" w:lineRule="auto"/>
              <w:rPr>
                <w:sz w:val="26"/>
                <w:szCs w:val="26"/>
              </w:rPr>
            </w:pPr>
            <w:r w:rsidDel="00000000" w:rsidR="00000000" w:rsidRPr="00000000">
              <w:rPr>
                <w:sz w:val="26"/>
                <w:szCs w:val="26"/>
                <w:rtl w:val="0"/>
              </w:rPr>
              <w:t xml:space="preserve">Counts towards the 60 cm SRCES Arena Event series. </w:t>
            </w:r>
          </w:p>
          <w:p w:rsidR="00000000" w:rsidDel="00000000" w:rsidP="00000000" w:rsidRDefault="00000000" w:rsidRPr="00000000" w14:paraId="00000023">
            <w:pPr>
              <w:spacing w:line="360" w:lineRule="auto"/>
              <w:rPr>
                <w:sz w:val="26"/>
                <w:szCs w:val="26"/>
              </w:rPr>
            </w:pPr>
            <w:r w:rsidDel="00000000" w:rsidR="00000000" w:rsidRPr="00000000">
              <w:rPr>
                <w:sz w:val="26"/>
                <w:szCs w:val="26"/>
                <w:rtl w:val="0"/>
              </w:rPr>
              <w:t xml:space="preserve">Combinations not to have competed at 80 cm in previous year. </w:t>
            </w:r>
          </w:p>
        </w:tc>
      </w:tr>
      <w:tr>
        <w:trPr>
          <w:cantSplit w:val="0"/>
          <w:trHeight w:val="624" w:hRule="atLeast"/>
          <w:tblHeader w:val="0"/>
        </w:trPr>
        <w:tc>
          <w:tcPr>
            <w:vAlign w:val="center"/>
          </w:tcPr>
          <w:p w:rsidR="00000000" w:rsidDel="00000000" w:rsidP="00000000" w:rsidRDefault="00000000" w:rsidRPr="00000000" w14:paraId="00000024">
            <w:pPr>
              <w:spacing w:line="360" w:lineRule="auto"/>
              <w:jc w:val="center"/>
              <w:rPr>
                <w:b w:val="1"/>
                <w:sz w:val="26"/>
                <w:szCs w:val="26"/>
              </w:rPr>
            </w:pPr>
            <w:r w:rsidDel="00000000" w:rsidR="00000000" w:rsidRPr="00000000">
              <w:rPr>
                <w:sz w:val="26"/>
                <w:szCs w:val="26"/>
                <w:rtl w:val="0"/>
              </w:rPr>
              <w:t xml:space="preserve">3</w:t>
            </w:r>
            <w:r w:rsidDel="00000000" w:rsidR="00000000" w:rsidRPr="00000000">
              <w:rPr>
                <w:rtl w:val="0"/>
              </w:rPr>
            </w:r>
          </w:p>
        </w:tc>
        <w:tc>
          <w:tcPr>
            <w:vAlign w:val="center"/>
          </w:tcPr>
          <w:p w:rsidR="00000000" w:rsidDel="00000000" w:rsidP="00000000" w:rsidRDefault="00000000" w:rsidRPr="00000000" w14:paraId="00000025">
            <w:pPr>
              <w:spacing w:line="360" w:lineRule="auto"/>
              <w:jc w:val="center"/>
              <w:rPr>
                <w:sz w:val="26"/>
                <w:szCs w:val="26"/>
              </w:rPr>
            </w:pPr>
            <w:r w:rsidDel="00000000" w:rsidR="00000000" w:rsidRPr="00000000">
              <w:rPr>
                <w:sz w:val="26"/>
                <w:szCs w:val="26"/>
                <w:rtl w:val="0"/>
              </w:rPr>
              <w:t xml:space="preserve">70cm</w:t>
            </w:r>
          </w:p>
        </w:tc>
        <w:tc>
          <w:tcPr>
            <w:vAlign w:val="center"/>
          </w:tcPr>
          <w:p w:rsidR="00000000" w:rsidDel="00000000" w:rsidP="00000000" w:rsidRDefault="00000000" w:rsidRPr="00000000" w14:paraId="00000026">
            <w:pPr>
              <w:spacing w:line="360" w:lineRule="auto"/>
              <w:rPr>
                <w:sz w:val="26"/>
                <w:szCs w:val="26"/>
              </w:rPr>
            </w:pPr>
            <w:r w:rsidDel="00000000" w:rsidR="00000000" w:rsidRPr="00000000">
              <w:rPr>
                <w:sz w:val="26"/>
                <w:szCs w:val="26"/>
                <w:rtl w:val="0"/>
              </w:rPr>
              <w:t xml:space="preserve">Counts towards the 70 cm SRCES Arena Event series. </w:t>
            </w:r>
          </w:p>
          <w:p w:rsidR="00000000" w:rsidDel="00000000" w:rsidP="00000000" w:rsidRDefault="00000000" w:rsidRPr="00000000" w14:paraId="00000027">
            <w:pPr>
              <w:spacing w:line="360" w:lineRule="auto"/>
              <w:rPr>
                <w:sz w:val="26"/>
                <w:szCs w:val="26"/>
              </w:rPr>
            </w:pPr>
            <w:r w:rsidDel="00000000" w:rsidR="00000000" w:rsidRPr="00000000">
              <w:rPr>
                <w:sz w:val="26"/>
                <w:szCs w:val="26"/>
                <w:rtl w:val="0"/>
              </w:rPr>
              <w:t xml:space="preserve">Combinations not to have competed at 90 cm in previous year.</w:t>
            </w:r>
          </w:p>
        </w:tc>
      </w:tr>
      <w:tr>
        <w:trPr>
          <w:cantSplit w:val="0"/>
          <w:trHeight w:val="536" w:hRule="atLeast"/>
          <w:tblHeader w:val="0"/>
        </w:trPr>
        <w:tc>
          <w:tcPr>
            <w:vAlign w:val="center"/>
          </w:tcPr>
          <w:p w:rsidR="00000000" w:rsidDel="00000000" w:rsidP="00000000" w:rsidRDefault="00000000" w:rsidRPr="00000000" w14:paraId="00000028">
            <w:pPr>
              <w:spacing w:line="360" w:lineRule="auto"/>
              <w:jc w:val="center"/>
              <w:rPr>
                <w:b w:val="1"/>
                <w:sz w:val="26"/>
                <w:szCs w:val="26"/>
              </w:rPr>
            </w:pPr>
            <w:r w:rsidDel="00000000" w:rsidR="00000000" w:rsidRPr="00000000">
              <w:rPr>
                <w:sz w:val="26"/>
                <w:szCs w:val="26"/>
                <w:rtl w:val="0"/>
              </w:rPr>
              <w:t xml:space="preserve">4</w:t>
            </w:r>
            <w:r w:rsidDel="00000000" w:rsidR="00000000" w:rsidRPr="00000000">
              <w:rPr>
                <w:rtl w:val="0"/>
              </w:rPr>
            </w:r>
          </w:p>
        </w:tc>
        <w:tc>
          <w:tcPr>
            <w:vAlign w:val="center"/>
          </w:tcPr>
          <w:p w:rsidR="00000000" w:rsidDel="00000000" w:rsidP="00000000" w:rsidRDefault="00000000" w:rsidRPr="00000000" w14:paraId="00000029">
            <w:pPr>
              <w:spacing w:line="360" w:lineRule="auto"/>
              <w:jc w:val="center"/>
              <w:rPr>
                <w:sz w:val="26"/>
                <w:szCs w:val="26"/>
              </w:rPr>
            </w:pPr>
            <w:r w:rsidDel="00000000" w:rsidR="00000000" w:rsidRPr="00000000">
              <w:rPr>
                <w:sz w:val="26"/>
                <w:szCs w:val="26"/>
                <w:rtl w:val="0"/>
              </w:rPr>
              <w:t xml:space="preserve">80cm</w:t>
            </w:r>
          </w:p>
        </w:tc>
        <w:tc>
          <w:tcPr>
            <w:vAlign w:val="center"/>
          </w:tcPr>
          <w:p w:rsidR="00000000" w:rsidDel="00000000" w:rsidP="00000000" w:rsidRDefault="00000000" w:rsidRPr="00000000" w14:paraId="0000002A">
            <w:pPr>
              <w:spacing w:line="360" w:lineRule="auto"/>
              <w:rPr>
                <w:sz w:val="26"/>
                <w:szCs w:val="26"/>
              </w:rPr>
            </w:pPr>
            <w:r w:rsidDel="00000000" w:rsidR="00000000" w:rsidRPr="00000000">
              <w:rPr>
                <w:sz w:val="26"/>
                <w:szCs w:val="26"/>
                <w:rtl w:val="0"/>
              </w:rPr>
              <w:t xml:space="preserve">Counts towards the 80 cm SRCES Arena Event series. </w:t>
            </w:r>
          </w:p>
          <w:p w:rsidR="00000000" w:rsidDel="00000000" w:rsidP="00000000" w:rsidRDefault="00000000" w:rsidRPr="00000000" w14:paraId="0000002B">
            <w:pPr>
              <w:spacing w:line="360" w:lineRule="auto"/>
              <w:rPr>
                <w:b w:val="1"/>
                <w:sz w:val="26"/>
                <w:szCs w:val="26"/>
              </w:rPr>
            </w:pPr>
            <w:r w:rsidDel="00000000" w:rsidR="00000000" w:rsidRPr="00000000">
              <w:rPr>
                <w:sz w:val="26"/>
                <w:szCs w:val="26"/>
                <w:rtl w:val="0"/>
              </w:rPr>
              <w:t xml:space="preserve">Combinations not to have competed at 1 m in previous year.</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02C">
            <w:pPr>
              <w:spacing w:line="360" w:lineRule="auto"/>
              <w:jc w:val="center"/>
              <w:rPr>
                <w:b w:val="1"/>
                <w:sz w:val="26"/>
                <w:szCs w:val="26"/>
              </w:rPr>
            </w:pPr>
            <w:r w:rsidDel="00000000" w:rsidR="00000000" w:rsidRPr="00000000">
              <w:rPr>
                <w:sz w:val="26"/>
                <w:szCs w:val="26"/>
                <w:rtl w:val="0"/>
              </w:rPr>
              <w:t xml:space="preserve">5</w:t>
            </w:r>
            <w:r w:rsidDel="00000000" w:rsidR="00000000" w:rsidRPr="00000000">
              <w:rPr>
                <w:rtl w:val="0"/>
              </w:rPr>
            </w:r>
          </w:p>
        </w:tc>
        <w:tc>
          <w:tcPr>
            <w:vAlign w:val="center"/>
          </w:tcPr>
          <w:p w:rsidR="00000000" w:rsidDel="00000000" w:rsidP="00000000" w:rsidRDefault="00000000" w:rsidRPr="00000000" w14:paraId="0000002D">
            <w:pPr>
              <w:spacing w:line="360" w:lineRule="auto"/>
              <w:jc w:val="center"/>
              <w:rPr>
                <w:sz w:val="26"/>
                <w:szCs w:val="26"/>
              </w:rPr>
            </w:pPr>
            <w:r w:rsidDel="00000000" w:rsidR="00000000" w:rsidRPr="00000000">
              <w:rPr>
                <w:sz w:val="26"/>
                <w:szCs w:val="26"/>
                <w:rtl w:val="0"/>
              </w:rPr>
              <w:t xml:space="preserve">90cm</w:t>
            </w:r>
          </w:p>
        </w:tc>
        <w:tc>
          <w:tcPr>
            <w:vAlign w:val="center"/>
          </w:tcPr>
          <w:p w:rsidR="00000000" w:rsidDel="00000000" w:rsidP="00000000" w:rsidRDefault="00000000" w:rsidRPr="00000000" w14:paraId="0000002E">
            <w:pPr>
              <w:spacing w:line="360" w:lineRule="auto"/>
              <w:rPr>
                <w:sz w:val="26"/>
                <w:szCs w:val="26"/>
              </w:rPr>
            </w:pPr>
            <w:r w:rsidDel="00000000" w:rsidR="00000000" w:rsidRPr="00000000">
              <w:rPr>
                <w:sz w:val="26"/>
                <w:szCs w:val="26"/>
                <w:rtl w:val="0"/>
              </w:rPr>
              <w:t xml:space="preserve">Counts towards the 90 cm SRCES Arena Event series. </w:t>
            </w:r>
          </w:p>
        </w:tc>
      </w:tr>
      <w:tr>
        <w:trPr>
          <w:cantSplit w:val="0"/>
          <w:trHeight w:val="586" w:hRule="atLeast"/>
          <w:tblHeader w:val="0"/>
        </w:trPr>
        <w:tc>
          <w:tcPr>
            <w:vAlign w:val="center"/>
          </w:tcPr>
          <w:p w:rsidR="00000000" w:rsidDel="00000000" w:rsidP="00000000" w:rsidRDefault="00000000" w:rsidRPr="00000000" w14:paraId="0000002F">
            <w:pPr>
              <w:spacing w:line="360" w:lineRule="auto"/>
              <w:jc w:val="center"/>
              <w:rPr>
                <w:b w:val="1"/>
                <w:sz w:val="26"/>
                <w:szCs w:val="26"/>
              </w:rPr>
            </w:pPr>
            <w:r w:rsidDel="00000000" w:rsidR="00000000" w:rsidRPr="00000000">
              <w:rPr>
                <w:sz w:val="26"/>
                <w:szCs w:val="26"/>
                <w:rtl w:val="0"/>
              </w:rPr>
              <w:t xml:space="preserve">6</w:t>
            </w:r>
            <w:r w:rsidDel="00000000" w:rsidR="00000000" w:rsidRPr="00000000">
              <w:rPr>
                <w:rtl w:val="0"/>
              </w:rPr>
            </w:r>
          </w:p>
        </w:tc>
        <w:tc>
          <w:tcPr>
            <w:vAlign w:val="center"/>
          </w:tcPr>
          <w:p w:rsidR="00000000" w:rsidDel="00000000" w:rsidP="00000000" w:rsidRDefault="00000000" w:rsidRPr="00000000" w14:paraId="00000030">
            <w:pPr>
              <w:spacing w:line="360" w:lineRule="auto"/>
              <w:jc w:val="center"/>
              <w:rPr>
                <w:sz w:val="26"/>
                <w:szCs w:val="26"/>
              </w:rPr>
            </w:pPr>
            <w:r w:rsidDel="00000000" w:rsidR="00000000" w:rsidRPr="00000000">
              <w:rPr>
                <w:sz w:val="26"/>
                <w:szCs w:val="26"/>
                <w:rtl w:val="0"/>
              </w:rPr>
              <w:t xml:space="preserve">1 m</w:t>
            </w:r>
          </w:p>
        </w:tc>
        <w:tc>
          <w:tcPr>
            <w:vAlign w:val="center"/>
          </w:tcPr>
          <w:p w:rsidR="00000000" w:rsidDel="00000000" w:rsidP="00000000" w:rsidRDefault="00000000" w:rsidRPr="00000000" w14:paraId="00000031">
            <w:pPr>
              <w:spacing w:line="360" w:lineRule="auto"/>
              <w:rPr>
                <w:b w:val="1"/>
                <w:sz w:val="26"/>
                <w:szCs w:val="26"/>
              </w:rPr>
            </w:pPr>
            <w:r w:rsidDel="00000000" w:rsidR="00000000" w:rsidRPr="00000000">
              <w:rPr>
                <w:sz w:val="26"/>
                <w:szCs w:val="26"/>
                <w:rtl w:val="0"/>
              </w:rPr>
              <w:t xml:space="preserve">Counts towards the 1 m SRCES Arena Event series. </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032">
            <w:pPr>
              <w:spacing w:line="360" w:lineRule="auto"/>
              <w:jc w:val="center"/>
              <w:rPr>
                <w:b w:val="1"/>
                <w:sz w:val="26"/>
                <w:szCs w:val="26"/>
              </w:rPr>
            </w:pPr>
            <w:r w:rsidDel="00000000" w:rsidR="00000000" w:rsidRPr="00000000">
              <w:rPr>
                <w:sz w:val="26"/>
                <w:szCs w:val="26"/>
                <w:rtl w:val="0"/>
              </w:rPr>
              <w:t xml:space="preserve">7</w:t>
            </w:r>
            <w:r w:rsidDel="00000000" w:rsidR="00000000" w:rsidRPr="00000000">
              <w:rPr>
                <w:rtl w:val="0"/>
              </w:rPr>
            </w:r>
          </w:p>
        </w:tc>
        <w:tc>
          <w:tcPr>
            <w:vAlign w:val="center"/>
          </w:tcPr>
          <w:p w:rsidR="00000000" w:rsidDel="00000000" w:rsidP="00000000" w:rsidRDefault="00000000" w:rsidRPr="00000000" w14:paraId="00000033">
            <w:pPr>
              <w:spacing w:line="360" w:lineRule="auto"/>
              <w:jc w:val="center"/>
              <w:rPr>
                <w:sz w:val="26"/>
                <w:szCs w:val="26"/>
              </w:rPr>
            </w:pPr>
            <w:r w:rsidDel="00000000" w:rsidR="00000000" w:rsidRPr="00000000">
              <w:rPr>
                <w:sz w:val="26"/>
                <w:szCs w:val="26"/>
                <w:rtl w:val="0"/>
              </w:rPr>
              <w:t xml:space="preserve">1.05 m + </w:t>
            </w:r>
          </w:p>
        </w:tc>
        <w:tc>
          <w:tcPr>
            <w:vAlign w:val="center"/>
          </w:tcPr>
          <w:p w:rsidR="00000000" w:rsidDel="00000000" w:rsidP="00000000" w:rsidRDefault="00000000" w:rsidRPr="00000000" w14:paraId="00000034">
            <w:pPr>
              <w:spacing w:line="360" w:lineRule="auto"/>
              <w:rPr>
                <w:b w:val="1"/>
                <w:sz w:val="26"/>
                <w:szCs w:val="26"/>
              </w:rPr>
            </w:pPr>
            <w:r w:rsidDel="00000000" w:rsidR="00000000" w:rsidRPr="00000000">
              <w:rPr>
                <w:sz w:val="26"/>
                <w:szCs w:val="26"/>
                <w:rtl w:val="0"/>
              </w:rPr>
              <w:t xml:space="preserve">Is not part of the SRCES, however provides an opportunity for those wishing to jump higher. </w:t>
            </w:r>
            <w:r w:rsidDel="00000000" w:rsidR="00000000" w:rsidRPr="00000000">
              <w:rPr>
                <w:rtl w:val="0"/>
              </w:rPr>
            </w:r>
          </w:p>
        </w:tc>
      </w:tr>
    </w:tbl>
    <w:p w:rsidR="00000000" w:rsidDel="00000000" w:rsidP="00000000" w:rsidRDefault="00000000" w:rsidRPr="00000000" w14:paraId="00000035">
      <w:pPr>
        <w:spacing w:after="0" w:line="240" w:lineRule="auto"/>
        <w:rPr>
          <w:sz w:val="28"/>
          <w:szCs w:val="28"/>
        </w:rPr>
      </w:pPr>
      <w:r w:rsidDel="00000000" w:rsidR="00000000" w:rsidRPr="00000000">
        <w:rPr>
          <w:rtl w:val="0"/>
        </w:rPr>
      </w:r>
    </w:p>
    <w:p w:rsidR="00000000" w:rsidDel="00000000" w:rsidP="00000000" w:rsidRDefault="00000000" w:rsidRPr="00000000" w14:paraId="00000036">
      <w:pPr>
        <w:spacing w:after="0" w:line="240" w:lineRule="auto"/>
        <w:rPr>
          <w:b w:val="1"/>
          <w:sz w:val="28"/>
          <w:szCs w:val="28"/>
        </w:rPr>
      </w:pPr>
      <w:r w:rsidDel="00000000" w:rsidR="00000000" w:rsidRPr="00000000">
        <w:rPr>
          <w:b w:val="1"/>
          <w:sz w:val="28"/>
          <w:szCs w:val="28"/>
          <w:rtl w:val="0"/>
        </w:rPr>
        <w:t xml:space="preserve">NB: All heights approximate</w:t>
      </w:r>
    </w:p>
    <w:p w:rsidR="00000000" w:rsidDel="00000000" w:rsidP="00000000" w:rsidRDefault="00000000" w:rsidRPr="00000000" w14:paraId="00000037">
      <w:pPr>
        <w:spacing w:line="360" w:lineRule="auto"/>
        <w:rPr>
          <w:sz w:val="28"/>
          <w:szCs w:val="28"/>
        </w:rPr>
      </w:pPr>
      <w:r w:rsidDel="00000000" w:rsidR="00000000" w:rsidRPr="00000000">
        <w:rPr>
          <w:rtl w:val="0"/>
        </w:rPr>
      </w:r>
    </w:p>
    <w:p w:rsidR="00000000" w:rsidDel="00000000" w:rsidP="00000000" w:rsidRDefault="00000000" w:rsidRPr="00000000" w14:paraId="00000038">
      <w:pPr>
        <w:spacing w:line="360" w:lineRule="auto"/>
        <w:rPr>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2222817</wp:posOffset>
                </wp:positionH>
                <wp:positionV relativeFrom="paragraph">
                  <wp:posOffset>3838</wp:posOffset>
                </wp:positionV>
                <wp:extent cx="2200275" cy="228600"/>
                <wp:effectExtent b="19050" l="0" r="28575" t="0"/>
                <wp:wrapNone/>
                <wp:docPr id="4" name=""/>
                <a:graphic>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2222817</wp:posOffset>
                </wp:positionH>
                <wp:positionV relativeFrom="paragraph">
                  <wp:posOffset>3838</wp:posOffset>
                </wp:positionV>
                <wp:extent cx="2228850" cy="247650"/>
                <wp:effectExtent b="0" l="0" r="0" t="0"/>
                <wp:wrapNone/>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228850" cy="247650"/>
                        </a:xfrm>
                        <a:prstGeom prst="rect"/>
                        <a:ln/>
                      </pic:spPr>
                    </pic:pic>
                  </a:graphicData>
                </a:graphic>
              </wp:anchor>
            </w:drawing>
          </mc:Fallback>
        </mc:AlternateContent>
      </w:r>
    </w:p>
    <w:p w:rsidR="00000000" w:rsidDel="00000000" w:rsidP="00000000" w:rsidRDefault="00000000" w:rsidRPr="00000000" w14:paraId="00000039">
      <w:pPr>
        <w:spacing w:line="360" w:lineRule="auto"/>
        <w:rPr>
          <w:sz w:val="28"/>
          <w:szCs w:val="28"/>
        </w:rPr>
      </w:pPr>
      <w:r w:rsidDel="00000000" w:rsidR="00000000" w:rsidRPr="00000000">
        <w:rPr>
          <w:b w:val="1"/>
          <w:sz w:val="28"/>
          <w:szCs w:val="28"/>
          <w:u w:val="single"/>
          <w:rtl w:val="0"/>
        </w:rPr>
        <w:t xml:space="preserve">Rules for Arena Eventing</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Hats complying to current standards are compulsory and must be correctly fastened at all times whilst mounted. Failure to do so may result in elimination.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 BRC rules, body protectors to current standards are compulsory.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Competitors must be safely and neatly dressed.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sharpened or rowelled spurs.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whips to exceed 30”.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be run under BS rules, except where otherwise stated.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Rider/horse/pony age to be calculated on day of the show.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horses/ponies must be 4 years old and over.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horse/pony may only be entered once in a class, unless they jump HC for second attempt.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Complaints must be lodged with a deposit of £25 in writing with the secretary. No complaint will be considered which has not been lodged before the prizegiving. Deposit will be returned if the complaint is upheld.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organisers (SDRC), accept no liability for rider/horse/pony/owners or damage/loss to vehicles or property at the show or in transit.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organisers (SDRC), reserve the right to amend the schedule or to refuse an entry.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Refunds will only be given if the event is cancelled. In the event of rider withdrawal, refunds will be at the discretion of the committee.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2222817</wp:posOffset>
                </wp:positionH>
                <wp:positionV relativeFrom="paragraph">
                  <wp:posOffset>269378</wp:posOffset>
                </wp:positionV>
                <wp:extent cx="2200275" cy="228600"/>
                <wp:effectExtent b="19050" l="0" r="28575" t="0"/>
                <wp:wrapNone/>
                <wp:docPr id="2" name=""/>
                <a:graphic>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2222817</wp:posOffset>
                </wp:positionH>
                <wp:positionV relativeFrom="paragraph">
                  <wp:posOffset>269378</wp:posOffset>
                </wp:positionV>
                <wp:extent cx="2228850" cy="24765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28850" cy="247650"/>
                        </a:xfrm>
                        <a:prstGeom prst="rect"/>
                        <a:ln/>
                      </pic:spPr>
                    </pic:pic>
                  </a:graphicData>
                </a:graphic>
              </wp:anchor>
            </w:drawing>
          </mc:Fallback>
        </mc:AlternateContent>
      </w:r>
    </w:p>
    <w:p w:rsidR="00000000" w:rsidDel="00000000" w:rsidP="00000000" w:rsidRDefault="00000000" w:rsidRPr="00000000" w14:paraId="00000048">
      <w:pPr>
        <w:spacing w:after="0" w:line="360" w:lineRule="auto"/>
        <w:rPr>
          <w:b w:val="1"/>
          <w:sz w:val="28"/>
          <w:szCs w:val="28"/>
          <w:u w:val="single"/>
        </w:rPr>
      </w:pPr>
      <w:r w:rsidDel="00000000" w:rsidR="00000000" w:rsidRPr="00000000">
        <w:rPr>
          <w:rtl w:val="0"/>
        </w:rPr>
      </w:r>
    </w:p>
    <w:p w:rsidR="00000000" w:rsidDel="00000000" w:rsidP="00000000" w:rsidRDefault="00000000" w:rsidRPr="00000000" w14:paraId="00000049">
      <w:pPr>
        <w:spacing w:after="0" w:line="360" w:lineRule="auto"/>
        <w:rPr>
          <w:b w:val="1"/>
          <w:sz w:val="28"/>
          <w:szCs w:val="28"/>
          <w:u w:val="single"/>
        </w:rPr>
      </w:pPr>
      <w:r w:rsidDel="00000000" w:rsidR="00000000" w:rsidRPr="00000000">
        <w:rPr>
          <w:rtl w:val="0"/>
        </w:rPr>
      </w:r>
    </w:p>
    <w:p w:rsidR="00000000" w:rsidDel="00000000" w:rsidP="00000000" w:rsidRDefault="00000000" w:rsidRPr="00000000" w14:paraId="0000004A">
      <w:pPr>
        <w:spacing w:after="0" w:line="360" w:lineRule="auto"/>
        <w:rPr>
          <w:sz w:val="28"/>
          <w:szCs w:val="28"/>
        </w:rPr>
      </w:pPr>
      <w:r w:rsidDel="00000000" w:rsidR="00000000" w:rsidRPr="00000000">
        <w:rPr>
          <w:b w:val="1"/>
          <w:sz w:val="28"/>
          <w:szCs w:val="28"/>
          <w:u w:val="single"/>
          <w:rtl w:val="0"/>
        </w:rPr>
        <w:t xml:space="preserve">Information and Eligibility for Scottish Riding Club Event Series 2024</w:t>
      </w:r>
      <w:r w:rsidDel="00000000" w:rsidR="00000000" w:rsidRPr="00000000">
        <w:rPr>
          <w:rtl w:val="0"/>
        </w:rPr>
      </w:r>
    </w:p>
    <w:p w:rsidR="00000000" w:rsidDel="00000000" w:rsidP="00000000" w:rsidRDefault="00000000" w:rsidRPr="00000000" w14:paraId="0000004B">
      <w:pPr>
        <w:spacing w:after="0" w:line="360" w:lineRule="auto"/>
        <w:rPr>
          <w:b w:val="1"/>
          <w:color w:val="000000"/>
          <w:sz w:val="28"/>
          <w:szCs w:val="28"/>
        </w:rPr>
      </w:pPr>
      <w:r w:rsidDel="00000000" w:rsidR="00000000" w:rsidRPr="00000000">
        <w:rPr>
          <w:b w:val="1"/>
          <w:color w:val="000000"/>
          <w:sz w:val="28"/>
          <w:szCs w:val="28"/>
          <w:rtl w:val="0"/>
        </w:rPr>
        <w:t xml:space="preserve">Information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series of events has been set up to encourage RC members to take part in registered events in both Area 22 and Area 1.</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many RC riders, whilst the chance to take part in BRC Championships is an aim, in reality the distances that have to be covered to go to any Championship is often too great, therefore the Scottish Riding Clubs felt it would be fun to have our own Championships that were accessible to ALL Scottish Riding Club members, and hence the SRCES was created.</w:t>
      </w:r>
    </w:p>
    <w:p w:rsidR="00000000" w:rsidDel="00000000" w:rsidP="00000000" w:rsidRDefault="00000000" w:rsidRPr="00000000" w14:paraId="0000004E">
      <w:pPr>
        <w:spacing w:line="360" w:lineRule="auto"/>
        <w:rPr>
          <w:sz w:val="28"/>
          <w:szCs w:val="28"/>
        </w:rPr>
      </w:pPr>
      <w:r w:rsidDel="00000000" w:rsidR="00000000" w:rsidRPr="00000000">
        <w:rPr>
          <w:b w:val="1"/>
          <w:color w:val="000000"/>
          <w:sz w:val="28"/>
          <w:szCs w:val="28"/>
          <w:rtl w:val="0"/>
        </w:rPr>
        <w:t xml:space="preserve">The course:</w:t>
      </w:r>
      <w:r w:rsidDel="00000000" w:rsidR="00000000" w:rsidRPr="00000000">
        <w:rPr>
          <w:color w:val="000000"/>
          <w:sz w:val="28"/>
          <w:szCs w:val="28"/>
          <w:rtl w:val="0"/>
        </w:rPr>
        <w:t xml:space="preserve"> </w:t>
      </w:r>
      <w:r w:rsidDel="00000000" w:rsidR="00000000" w:rsidRPr="00000000">
        <w:rPr>
          <w:sz w:val="28"/>
          <w:szCs w:val="28"/>
          <w:rtl w:val="0"/>
        </w:rPr>
        <w:t xml:space="preserve">The course will consist of up to 6 – 8 showjumping fences, followed immediately by up to 6 – 8 knock down cross-country/working hunter fences, these may include a skinny, corner and joker fence. The whole round will be timed with faults accumulated over both sections. Competitors can compete in 2 consecutive classes. </w:t>
      </w:r>
    </w:p>
    <w:p w:rsidR="00000000" w:rsidDel="00000000" w:rsidP="00000000" w:rsidRDefault="00000000" w:rsidRPr="00000000" w14:paraId="0000004F">
      <w:pPr>
        <w:spacing w:after="0" w:line="360" w:lineRule="auto"/>
        <w:rPr>
          <w:color w:val="000000"/>
          <w:sz w:val="28"/>
          <w:szCs w:val="28"/>
        </w:rPr>
      </w:pPr>
      <w:r w:rsidDel="00000000" w:rsidR="00000000" w:rsidRPr="00000000">
        <w:rPr>
          <w:rtl w:val="0"/>
        </w:rPr>
      </w:r>
    </w:p>
    <w:p w:rsidR="00000000" w:rsidDel="00000000" w:rsidP="00000000" w:rsidRDefault="00000000" w:rsidRPr="00000000" w14:paraId="00000050">
      <w:pPr>
        <w:spacing w:after="0" w:line="360" w:lineRule="auto"/>
        <w:rPr>
          <w:b w:val="1"/>
          <w:color w:val="000000"/>
          <w:sz w:val="28"/>
          <w:szCs w:val="28"/>
        </w:rPr>
      </w:pPr>
      <w:r w:rsidDel="00000000" w:rsidR="00000000" w:rsidRPr="00000000">
        <w:rPr>
          <w:b w:val="1"/>
          <w:color w:val="000000"/>
          <w:sz w:val="28"/>
          <w:szCs w:val="28"/>
          <w:rtl w:val="0"/>
        </w:rPr>
        <w:t xml:space="preserve">Eligibility</w:t>
      </w:r>
    </w:p>
    <w:p w:rsidR="00000000" w:rsidDel="00000000" w:rsidP="00000000" w:rsidRDefault="00000000" w:rsidRPr="00000000" w14:paraId="00000051">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You must be a current junior or senior member of an affiliated or unaffiliated Scottish Riding Club.</w:t>
      </w:r>
    </w:p>
    <w:p w:rsidR="00000000" w:rsidDel="00000000" w:rsidP="00000000" w:rsidRDefault="00000000" w:rsidRPr="00000000" w14:paraId="00000052">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You can only compete as a member of one club.</w:t>
      </w:r>
    </w:p>
    <w:p w:rsidR="00000000" w:rsidDel="00000000" w:rsidP="00000000" w:rsidRDefault="00000000" w:rsidRPr="00000000" w14:paraId="00000053">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You must sign up through your riding club. Please contact Jane Smith (</w:t>
      </w:r>
      <w:hyperlink r:id="rId10">
        <w:r w:rsidDel="00000000" w:rsidR="00000000" w:rsidRPr="00000000">
          <w:rPr>
            <w:color w:val="0000ff"/>
            <w:sz w:val="28"/>
            <w:szCs w:val="28"/>
            <w:u w:val="single"/>
            <w:rtl w:val="0"/>
          </w:rPr>
          <w:t xml:space="preserve">jane.smith80@icloud.com</w:t>
        </w:r>
      </w:hyperlink>
      <w:r w:rsidDel="00000000" w:rsidR="00000000" w:rsidRPr="00000000">
        <w:rPr>
          <w:color w:val="000000"/>
          <w:sz w:val="28"/>
          <w:szCs w:val="28"/>
          <w:rtl w:val="0"/>
        </w:rPr>
        <w:t xml:space="preserve">) to register.</w:t>
      </w:r>
    </w:p>
    <w:p w:rsidR="00000000" w:rsidDel="00000000" w:rsidP="00000000" w:rsidRDefault="00000000" w:rsidRPr="00000000" w14:paraId="00000054">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Your club will provide their members details to SRCES.</w:t>
      </w:r>
    </w:p>
    <w:p w:rsidR="00000000" w:rsidDel="00000000" w:rsidP="00000000" w:rsidRDefault="00000000" w:rsidRPr="00000000" w14:paraId="00000055">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You can sign up for any or all three event series (Arena eventing, Eventing and Dressage to music).</w:t>
      </w:r>
    </w:p>
    <w:p w:rsidR="00000000" w:rsidDel="00000000" w:rsidP="00000000" w:rsidRDefault="00000000" w:rsidRPr="00000000" w14:paraId="00000056">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Event details will be shared with Riding Clubs and posted on Scottish Event Series FB and website.</w:t>
      </w:r>
    </w:p>
    <w:p w:rsidR="00000000" w:rsidDel="00000000" w:rsidP="00000000" w:rsidRDefault="00000000" w:rsidRPr="00000000" w14:paraId="00000057">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RC Members must enter events via the organising events chosen system.</w:t>
      </w:r>
    </w:p>
    <w:p w:rsidR="00000000" w:rsidDel="00000000" w:rsidP="00000000" w:rsidRDefault="00000000" w:rsidRPr="00000000" w14:paraId="00000058">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Scottish RC Events Series do not run or organise any of the events,  they just collate the points.</w:t>
      </w:r>
    </w:p>
    <w:p w:rsidR="00000000" w:rsidDel="00000000" w:rsidP="00000000" w:rsidRDefault="00000000" w:rsidRPr="00000000" w14:paraId="00000059">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Points will be awarded to Horse &amp; Rider Combinations gaining places at registered unaffiliated events.</w:t>
      </w:r>
    </w:p>
    <w:p w:rsidR="00000000" w:rsidDel="00000000" w:rsidP="00000000" w:rsidRDefault="00000000" w:rsidRPr="00000000" w14:paraId="0000005A">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Events will provide results to SRCES organisers who will allocate the appropriate points to combinations.</w:t>
      </w:r>
    </w:p>
    <w:p w:rsidR="00000000" w:rsidDel="00000000" w:rsidP="00000000" w:rsidRDefault="00000000" w:rsidRPr="00000000" w14:paraId="0000005B">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Points tables will be posted on Scottish Event Series FB Page and on the website.</w:t>
      </w:r>
    </w:p>
    <w:p w:rsidR="00000000" w:rsidDel="00000000" w:rsidP="00000000" w:rsidRDefault="00000000" w:rsidRPr="00000000" w14:paraId="0000005C">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Dates of qualifying events will be posted on the website.</w:t>
      </w:r>
    </w:p>
    <w:p w:rsidR="00000000" w:rsidDel="00000000" w:rsidP="00000000" w:rsidRDefault="00000000" w:rsidRPr="00000000" w14:paraId="0000005D">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Dressage to Music &amp; Arena Eventing final competitions will be held at Bogenraith Equestrian Aberdeenshire in October 2024.</w:t>
      </w:r>
    </w:p>
    <w:p w:rsidR="00000000" w:rsidDel="00000000" w:rsidP="00000000" w:rsidRDefault="00000000" w:rsidRPr="00000000" w14:paraId="0000005E">
      <w:pPr>
        <w:numPr>
          <w:ilvl w:val="0"/>
          <w:numId w:val="1"/>
        </w:numPr>
        <w:shd w:fill="ffffff" w:val="clear"/>
        <w:spacing w:after="0" w:line="360" w:lineRule="auto"/>
        <w:ind w:left="720" w:hanging="360"/>
        <w:rPr>
          <w:color w:val="000000"/>
        </w:rPr>
      </w:pPr>
      <w:r w:rsidDel="00000000" w:rsidR="00000000" w:rsidRPr="00000000">
        <w:rPr>
          <w:color w:val="000000"/>
          <w:sz w:val="28"/>
          <w:szCs w:val="28"/>
          <w:rtl w:val="0"/>
        </w:rPr>
        <w:t xml:space="preserve">Eventing Final will be at Auchlishie on 7</w:t>
      </w:r>
      <w:r w:rsidDel="00000000" w:rsidR="00000000" w:rsidRPr="00000000">
        <w:rPr>
          <w:color w:val="000000"/>
          <w:sz w:val="28"/>
          <w:szCs w:val="28"/>
          <w:vertAlign w:val="superscript"/>
          <w:rtl w:val="0"/>
        </w:rPr>
        <w:t xml:space="preserve">th</w:t>
      </w:r>
      <w:r w:rsidDel="00000000" w:rsidR="00000000" w:rsidRPr="00000000">
        <w:rPr>
          <w:color w:val="000000"/>
          <w:sz w:val="28"/>
          <w:szCs w:val="28"/>
          <w:rtl w:val="0"/>
        </w:rPr>
        <w:t xml:space="preserve"> &amp; 8</w:t>
      </w:r>
      <w:r w:rsidDel="00000000" w:rsidR="00000000" w:rsidRPr="00000000">
        <w:rPr>
          <w:color w:val="000000"/>
          <w:sz w:val="28"/>
          <w:szCs w:val="28"/>
          <w:vertAlign w:val="superscript"/>
          <w:rtl w:val="0"/>
        </w:rPr>
        <w:t xml:space="preserve">th</w:t>
      </w:r>
      <w:r w:rsidDel="00000000" w:rsidR="00000000" w:rsidRPr="00000000">
        <w:rPr>
          <w:color w:val="000000"/>
          <w:sz w:val="28"/>
          <w:szCs w:val="28"/>
          <w:rtl w:val="0"/>
        </w:rPr>
        <w:t xml:space="preserve"> September 2024. The top twenty combinations in each height section will be invited to enter and the competition will run as a Two Day Event. There will also be an Open ODE running over the weekend.</w:t>
      </w:r>
    </w:p>
    <w:p w:rsidR="00000000" w:rsidDel="00000000" w:rsidP="00000000" w:rsidRDefault="00000000" w:rsidRPr="00000000" w14:paraId="0000005F">
      <w:pPr>
        <w:spacing w:after="0" w:line="360" w:lineRule="auto"/>
        <w:ind w:left="360" w:firstLine="0"/>
        <w:rPr>
          <w:sz w:val="28"/>
          <w:szCs w:val="28"/>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8"/>
        <w:szCs w:val="28"/>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GB"/>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240" w:lineRule="auto"/>
    </w:pPr>
    <w:rPr>
      <w:rFonts w:ascii="Calibri" w:cs="Calibri" w:eastAsia="Calibri" w:hAnsi="Calibri"/>
      <w:color w:val="538135"/>
      <w:sz w:val="40"/>
      <w:szCs w:val="40"/>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53813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538135"/>
      <w:sz w:val="24"/>
      <w:szCs w:val="24"/>
    </w:rPr>
  </w:style>
  <w:style w:type="paragraph" w:styleId="Heading4">
    <w:name w:val="heading 4"/>
    <w:basedOn w:val="Normal"/>
    <w:next w:val="Normal"/>
    <w:pPr>
      <w:keepNext w:val="1"/>
      <w:keepLines w:val="1"/>
      <w:spacing w:after="0" w:before="80" w:lineRule="auto"/>
    </w:pPr>
    <w:rPr>
      <w:rFonts w:ascii="Calibri" w:cs="Calibri" w:eastAsia="Calibri" w:hAnsi="Calibri"/>
      <w:color w:val="70ad47"/>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70ad47"/>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70ad47"/>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Subtitle">
    <w:name w:val="Subtitle"/>
    <w:basedOn w:val="Normal"/>
    <w:next w:val="Normal"/>
    <w:pPr>
      <w:spacing w:line="240" w:lineRule="auto"/>
    </w:pPr>
    <w:rPr>
      <w:rFonts w:ascii="Calibri" w:cs="Calibri" w:eastAsia="Calibri" w:hAnsi="Calibri"/>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ane.smith80@icloud.com" TargetMode="External"/><Relationship Id="rId9" Type="http://schemas.openxmlformats.org/officeDocument/2006/relationships/hyperlink" Target="mailto:jane.smith80@icloud.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s://clubentries.com/s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